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F9C" w:rsidRPr="00BB4F9C" w:rsidRDefault="00BB4F9C" w:rsidP="00BB4F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it-IT"/>
        </w:rPr>
      </w:pPr>
      <w:r w:rsidRPr="00BB4F9C">
        <w:rPr>
          <w:rFonts w:ascii="Times New Roman" w:eastAsia="Times New Roman" w:hAnsi="Times New Roman" w:cs="Times New Roman"/>
          <w:sz w:val="28"/>
          <w:szCs w:val="27"/>
          <w:lang w:eastAsia="it-IT"/>
        </w:rPr>
        <w:t>Legge 24 luglio 2008, n. 125</w:t>
      </w:r>
    </w:p>
    <w:p w:rsidR="00BB4F9C" w:rsidRPr="00BB4F9C" w:rsidRDefault="00BB4F9C" w:rsidP="00BB4F9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  <w:lang w:eastAsia="it-IT"/>
        </w:rPr>
      </w:pPr>
      <w:r w:rsidRPr="00BB4F9C">
        <w:rPr>
          <w:rFonts w:ascii="Times New Roman" w:eastAsia="Times New Roman" w:hAnsi="Times New Roman" w:cs="Times New Roman"/>
          <w:b/>
          <w:bCs/>
          <w:sz w:val="28"/>
          <w:szCs w:val="27"/>
          <w:lang w:eastAsia="it-IT"/>
        </w:rPr>
        <w:t xml:space="preserve">"Conversione in legge, con modificazioni, del decreto-legge 23 maggio 2008, n. 92, recante misure urgenti in materia di sicurezza pubblica" </w:t>
      </w:r>
    </w:p>
    <w:p w:rsidR="00BB4F9C" w:rsidRPr="00BB4F9C" w:rsidRDefault="00BB4F9C" w:rsidP="00BB4F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B4F9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pubblicata nella </w:t>
      </w:r>
      <w:r w:rsidRPr="00BB4F9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Gazzetta Ufficiale</w:t>
      </w:r>
      <w:r w:rsidRPr="00BB4F9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n. 173 del 25 luglio 2008 </w:t>
      </w:r>
    </w:p>
    <w:p w:rsidR="00BB4F9C" w:rsidRDefault="00BB4F9C"/>
    <w:p w:rsidR="00BB4F9C" w:rsidRDefault="00BB4F9C"/>
    <w:p w:rsidR="00BB4F9C" w:rsidRPr="00BB4F9C" w:rsidRDefault="00BB4F9C" w:rsidP="00BB4F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B4F9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Art. 6</w:t>
      </w:r>
      <w:r w:rsidRPr="00BB4F9C">
        <w:rPr>
          <w:rFonts w:ascii="Times New Roman" w:eastAsia="Times New Roman" w:hAnsi="Times New Roman" w:cs="Times New Roman"/>
          <w:sz w:val="24"/>
          <w:szCs w:val="24"/>
          <w:lang w:eastAsia="it-IT"/>
        </w:rPr>
        <w:t>-</w:t>
      </w:r>
      <w:r w:rsidRPr="00BB4F9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bis.</w:t>
      </w:r>
      <w:r w:rsidRPr="00BB4F9C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Modifiche all'articolo 16, comma 2, della legge 24 novembre 1981, n. 689</w:t>
      </w:r>
    </w:p>
    <w:p w:rsidR="00BB4F9C" w:rsidRDefault="00BB4F9C" w:rsidP="00BB4F9C">
      <w:r w:rsidRPr="00BB4F9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1. Il secondo comma dell'articolo 16 della legge 24 novembre 1981, n. 689, e' sostituito dal seguente:</w:t>
      </w:r>
      <w:r w:rsidRPr="00BB4F9C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br/>
      </w:r>
      <w:r w:rsidRPr="00BB4F9C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lang w:eastAsia="it-IT"/>
        </w:rPr>
        <w:t>«Per le violazioni ai regolamenti ed alle ordinanze comunali e provinciali, la Giunta comunale o provinciale, all'interno del limite edittale minimo e massi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lang w:eastAsia="it-IT"/>
        </w:rPr>
        <w:t>mo della sanzione prevista, può</w:t>
      </w:r>
      <w:r w:rsidRPr="00BB4F9C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lang w:eastAsia="it-IT"/>
        </w:rPr>
        <w:t xml:space="preserve"> stabilire un diverso importo del pagamento in misura ridotta, in deroga alle disposizioni del primo comma».</w:t>
      </w:r>
    </w:p>
    <w:sectPr w:rsidR="00BB4F9C" w:rsidSect="007D5A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BB4F9C"/>
    <w:rsid w:val="007D5AE8"/>
    <w:rsid w:val="00BB4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5AE8"/>
  </w:style>
  <w:style w:type="paragraph" w:styleId="Titolo3">
    <w:name w:val="heading 3"/>
    <w:basedOn w:val="Normale"/>
    <w:link w:val="Titolo3Carattere"/>
    <w:uiPriority w:val="9"/>
    <w:qFormat/>
    <w:rsid w:val="00BB4F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BB4F9C"/>
    <w:rPr>
      <w:b/>
      <w:bCs/>
    </w:rPr>
  </w:style>
  <w:style w:type="character" w:styleId="Enfasicorsivo">
    <w:name w:val="Emphasis"/>
    <w:basedOn w:val="Carpredefinitoparagrafo"/>
    <w:uiPriority w:val="20"/>
    <w:qFormat/>
    <w:rsid w:val="00BB4F9C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F9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B4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Company>TOSHIBA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1</cp:revision>
  <dcterms:created xsi:type="dcterms:W3CDTF">2010-05-05T15:17:00Z</dcterms:created>
  <dcterms:modified xsi:type="dcterms:W3CDTF">2010-05-05T15:19:00Z</dcterms:modified>
</cp:coreProperties>
</file>